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F422043" w14:textId="77777777" w:rsidR="00C63F9A" w:rsidRPr="00C63F9A" w:rsidRDefault="00C63F9A" w:rsidP="00C63F9A">
      <w:r w:rsidRPr="00C63F9A">
        <w:rPr>
          <w:b/>
          <w:bCs/>
        </w:rPr>
        <w:t>SLIA – Appel à projets thématiques : Intelligence Artificielle et Recherche sur la Sclérose Latérale Amyotrophique</w:t>
      </w:r>
    </w:p>
    <w:p w14:paraId="16DC66F6" w14:textId="7FAB1935" w:rsidR="00C63F9A" w:rsidRPr="00C63F9A" w:rsidRDefault="00C63F9A" w:rsidP="008E1785">
      <w:pPr>
        <w:jc w:val="both"/>
      </w:pPr>
      <w:r w:rsidRPr="00C63F9A">
        <w:t xml:space="preserve">Face à l’absence de traitement capable de ralentir l’évolution de la SLA pour l’ensemble des patients, l’ARSLA lance un appel à projets dédié à l’application de l’Intelligence Artificielle (IA) dans la recherche sur </w:t>
      </w:r>
      <w:r>
        <w:t>la SLA</w:t>
      </w:r>
      <w:r w:rsidRPr="00C63F9A">
        <w:t xml:space="preserve">. L’IA a le potentiel de transformer notre compréhension de </w:t>
      </w:r>
      <w:r>
        <w:t>cette maladie</w:t>
      </w:r>
      <w:r w:rsidRPr="00C63F9A">
        <w:t xml:space="preserve"> et de contribuer à la découverte de traitements innovants et efficaces. En raison de l’hétérogénéité de la SLA, l’IA pourrait également fournir des outils puissants pour développer des thérapies personnalisées adaptées à chaque patient.</w:t>
      </w:r>
    </w:p>
    <w:p w14:paraId="20669CD2" w14:textId="77777777" w:rsidR="00C63F9A" w:rsidRPr="00C63F9A" w:rsidRDefault="00C63F9A" w:rsidP="008E1785">
      <w:pPr>
        <w:jc w:val="both"/>
      </w:pPr>
      <w:r w:rsidRPr="00C63F9A">
        <w:t xml:space="preserve">Grâce au soutien de Nicolas </w:t>
      </w:r>
      <w:proofErr w:type="spellStart"/>
      <w:r w:rsidRPr="00C63F9A">
        <w:t>Beretti</w:t>
      </w:r>
      <w:proofErr w:type="spellEnd"/>
      <w:r w:rsidRPr="00C63F9A">
        <w:t>, jeune entrepreneur diagnostiqué en 2023, nous avons réuni 200 000 € pour financer des projets spécifiquement axés sur l’utilisation de l’IA dans la recherche sur la SLA.</w:t>
      </w:r>
    </w:p>
    <w:p w14:paraId="1B9AF9A3" w14:textId="77777777" w:rsidR="00C63F9A" w:rsidRPr="00C63F9A" w:rsidRDefault="00C63F9A" w:rsidP="008E1785">
      <w:pPr>
        <w:jc w:val="both"/>
      </w:pPr>
      <w:r w:rsidRPr="00C63F9A">
        <w:t>Cet appel à projets est ouvert aux recherches fondamentales et cliniques qui exploitent l’IA dans différents domaines, notamment :</w:t>
      </w:r>
    </w:p>
    <w:p w14:paraId="2367916C" w14:textId="77777777" w:rsidR="00C63F9A" w:rsidRPr="00C63F9A" w:rsidRDefault="00C63F9A" w:rsidP="008E1785">
      <w:pPr>
        <w:numPr>
          <w:ilvl w:val="0"/>
          <w:numId w:val="1"/>
        </w:numPr>
        <w:jc w:val="both"/>
      </w:pPr>
      <w:r w:rsidRPr="00C63F9A">
        <w:t>La compréhension des mécanismes de la maladie ;</w:t>
      </w:r>
    </w:p>
    <w:p w14:paraId="5742A058" w14:textId="77777777" w:rsidR="00C63F9A" w:rsidRPr="00C63F9A" w:rsidRDefault="00C63F9A" w:rsidP="008E1785">
      <w:pPr>
        <w:numPr>
          <w:ilvl w:val="0"/>
          <w:numId w:val="1"/>
        </w:numPr>
        <w:jc w:val="both"/>
      </w:pPr>
      <w:r w:rsidRPr="00C63F9A">
        <w:t>La modélisation de molécules thérapeutiques ;</w:t>
      </w:r>
    </w:p>
    <w:p w14:paraId="320E2E14" w14:textId="77777777" w:rsidR="00C63F9A" w:rsidRPr="00C63F9A" w:rsidRDefault="00C63F9A" w:rsidP="008E1785">
      <w:pPr>
        <w:numPr>
          <w:ilvl w:val="0"/>
          <w:numId w:val="1"/>
        </w:numPr>
        <w:jc w:val="both"/>
      </w:pPr>
      <w:r w:rsidRPr="00C63F9A">
        <w:t>Le développement et l’évaluation de traitements personnalisés ;</w:t>
      </w:r>
    </w:p>
    <w:p w14:paraId="650A947F" w14:textId="77777777" w:rsidR="00C63F9A" w:rsidRPr="00C63F9A" w:rsidRDefault="00C63F9A" w:rsidP="008E1785">
      <w:pPr>
        <w:numPr>
          <w:ilvl w:val="0"/>
          <w:numId w:val="1"/>
        </w:numPr>
        <w:jc w:val="both"/>
      </w:pPr>
      <w:r w:rsidRPr="00C63F9A">
        <w:t xml:space="preserve">Le traitement de données biologiques, épidémiologiques et de </w:t>
      </w:r>
      <w:r w:rsidRPr="00D513AE">
        <w:rPr>
          <w:i/>
          <w:iCs/>
        </w:rPr>
        <w:t>big data</w:t>
      </w:r>
      <w:r w:rsidRPr="00C63F9A">
        <w:t xml:space="preserve"> ;</w:t>
      </w:r>
    </w:p>
    <w:p w14:paraId="61EFC72B" w14:textId="77777777" w:rsidR="00C63F9A" w:rsidRDefault="00C63F9A" w:rsidP="008E1785">
      <w:pPr>
        <w:numPr>
          <w:ilvl w:val="0"/>
          <w:numId w:val="1"/>
        </w:numPr>
        <w:jc w:val="both"/>
      </w:pPr>
      <w:r w:rsidRPr="00C63F9A">
        <w:t>La création d’outils d’aide à la décision, de prédiction clinique ou de modélisation pour les essais cliniques (par ex. jumeaux numériques).</w:t>
      </w:r>
    </w:p>
    <w:p w14:paraId="46B8A033" w14:textId="5EF4C1D2" w:rsidR="00C63F9A" w:rsidRPr="00C63F9A" w:rsidRDefault="00B87787" w:rsidP="008E1785">
      <w:pPr>
        <w:jc w:val="both"/>
      </w:pPr>
      <w:r>
        <w:t>L</w:t>
      </w:r>
      <w:r w:rsidRPr="00B87787">
        <w:t>es structures publiques et privées peuvent postuler</w:t>
      </w:r>
      <w:r>
        <w:t xml:space="preserve">. </w:t>
      </w:r>
      <w:r w:rsidR="00A83DE3">
        <w:t>L</w:t>
      </w:r>
      <w:r>
        <w:t>a soumission d</w:t>
      </w:r>
      <w:r w:rsidR="00A83DE3">
        <w:t xml:space="preserve">es </w:t>
      </w:r>
      <w:r w:rsidR="00C63F9A" w:rsidRPr="00C63F9A">
        <w:t xml:space="preserve">projets collaboratifs associant des </w:t>
      </w:r>
      <w:r w:rsidR="00A83DE3">
        <w:t>équipes</w:t>
      </w:r>
      <w:r w:rsidR="00A83DE3" w:rsidRPr="00C63F9A">
        <w:t xml:space="preserve"> </w:t>
      </w:r>
      <w:r w:rsidR="00C63F9A" w:rsidRPr="00C63F9A">
        <w:t>académiques</w:t>
      </w:r>
      <w:r w:rsidR="00A83DE3">
        <w:t xml:space="preserve"> ou cliniques </w:t>
      </w:r>
      <w:r w:rsidR="00D513AE">
        <w:t>à des</w:t>
      </w:r>
      <w:r w:rsidR="00C63F9A" w:rsidRPr="00C63F9A">
        <w:t xml:space="preserve"> start-ups privées sont fortement encouragés. </w:t>
      </w:r>
      <w:r w:rsidR="00D513AE" w:rsidRPr="00D513AE">
        <w:t>Chaque projet devra avoir une durée de 12 à 24 mois</w:t>
      </w:r>
      <w:r w:rsidR="00C63F9A" w:rsidRPr="00C63F9A">
        <w:t xml:space="preserve">. Les propositions soumises dans le cadre de l’appel SLIA seront évaluées par </w:t>
      </w:r>
      <w:r w:rsidR="00EA40AB">
        <w:t>le</w:t>
      </w:r>
      <w:r w:rsidR="00C63F9A" w:rsidRPr="00C63F9A">
        <w:t xml:space="preserve"> </w:t>
      </w:r>
      <w:r w:rsidR="008E1785">
        <w:t>c</w:t>
      </w:r>
      <w:r w:rsidR="00C63F9A" w:rsidRPr="00C63F9A">
        <w:t xml:space="preserve">onseil </w:t>
      </w:r>
      <w:r w:rsidR="008E1785">
        <w:t>s</w:t>
      </w:r>
      <w:r w:rsidR="00C63F9A" w:rsidRPr="00C63F9A">
        <w:t>cientifique de l’ARSLA.</w:t>
      </w:r>
    </w:p>
    <w:p w14:paraId="33E6ADBA" w14:textId="76FF4CF7" w:rsidR="00C63F9A" w:rsidRPr="00C63F9A" w:rsidRDefault="00C63F9A" w:rsidP="00C63F9A">
      <w:r w:rsidRPr="00C63F9A">
        <w:t xml:space="preserve">Pour candidater, téléchargez le formulaire </w:t>
      </w:r>
      <w:r w:rsidRPr="00C63F9A">
        <w:rPr>
          <w:u w:val="single"/>
        </w:rPr>
        <w:t xml:space="preserve">ici </w:t>
      </w:r>
      <w:r w:rsidRPr="00C63F9A">
        <w:t xml:space="preserve">et envoyez votre dossier à </w:t>
      </w:r>
      <w:r w:rsidRPr="00C63F9A">
        <w:rPr>
          <w:b/>
          <w:bCs/>
        </w:rPr>
        <w:t>appel</w:t>
      </w:r>
      <w:r>
        <w:rPr>
          <w:b/>
          <w:bCs/>
        </w:rPr>
        <w:t>a</w:t>
      </w:r>
      <w:r w:rsidRPr="00C63F9A">
        <w:rPr>
          <w:b/>
          <w:bCs/>
        </w:rPr>
        <w:t>projets@arsla.org</w:t>
      </w:r>
      <w:r w:rsidRPr="00C63F9A">
        <w:t xml:space="preserve"> avec pour objet : « </w:t>
      </w:r>
      <w:r w:rsidRPr="00C63F9A">
        <w:rPr>
          <w:b/>
          <w:bCs/>
        </w:rPr>
        <w:t>Candidature SLIA – nom du porteur</w:t>
      </w:r>
      <w:r w:rsidRPr="00C63F9A">
        <w:t xml:space="preserve"> » avant 17h </w:t>
      </w:r>
      <w:r w:rsidR="00D513AE">
        <w:t>du</w:t>
      </w:r>
      <w:r w:rsidRPr="00C63F9A">
        <w:t xml:space="preserve"> 16 janvier 2025.</w:t>
      </w:r>
      <w:r>
        <w:t xml:space="preserve"> Les résultats seront connus au plus tard en juin 2025.</w:t>
      </w:r>
    </w:p>
    <w:p w14:paraId="7ACD51CD" w14:textId="4C44EF1E" w:rsidR="00C63F9A" w:rsidRDefault="00C63F9A">
      <w:r w:rsidRPr="00C63F9A">
        <w:t xml:space="preserve">Pour toute question, contactez </w:t>
      </w:r>
      <w:r w:rsidRPr="00C63F9A">
        <w:rPr>
          <w:b/>
          <w:bCs/>
        </w:rPr>
        <w:t>d.lanznaster@arsla.org</w:t>
      </w:r>
      <w:r w:rsidRPr="00C63F9A">
        <w:t>.</w:t>
      </w:r>
    </w:p>
    <w:sectPr w:rsidR="00C63F9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70E67849"/>
    <w:multiLevelType w:val="multilevel"/>
    <w:tmpl w:val="A08CB8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6163031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3F9A"/>
    <w:rsid w:val="00037AC9"/>
    <w:rsid w:val="001C370A"/>
    <w:rsid w:val="001F67F6"/>
    <w:rsid w:val="00267ECF"/>
    <w:rsid w:val="00487134"/>
    <w:rsid w:val="004F6B0B"/>
    <w:rsid w:val="007E477F"/>
    <w:rsid w:val="008E1785"/>
    <w:rsid w:val="009C2A3C"/>
    <w:rsid w:val="00A83DE3"/>
    <w:rsid w:val="00B87787"/>
    <w:rsid w:val="00C63F9A"/>
    <w:rsid w:val="00D513AE"/>
    <w:rsid w:val="00EA40AB"/>
    <w:rsid w:val="00EB11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EF770D"/>
  <w15:chartTrackingRefBased/>
  <w15:docId w15:val="{F88E6EA9-7B05-4677-8EB6-7A46BDAB67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fr-F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C63F9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C63F9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C63F9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C63F9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C63F9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C63F9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C63F9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C63F9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C63F9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C63F9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semiHidden/>
    <w:rsid w:val="00C63F9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re3Car">
    <w:name w:val="Titre 3 Car"/>
    <w:basedOn w:val="Policepardfaut"/>
    <w:link w:val="Titre3"/>
    <w:uiPriority w:val="9"/>
    <w:semiHidden/>
    <w:rsid w:val="00C63F9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C63F9A"/>
    <w:rPr>
      <w:rFonts w:eastAsiaTheme="majorEastAsia" w:cstheme="majorBidi"/>
      <w:i/>
      <w:iCs/>
      <w:color w:val="0F4761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C63F9A"/>
    <w:rPr>
      <w:rFonts w:eastAsiaTheme="majorEastAsia" w:cstheme="majorBidi"/>
      <w:color w:val="0F4761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C63F9A"/>
    <w:rPr>
      <w:rFonts w:eastAsiaTheme="majorEastAsia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C63F9A"/>
    <w:rPr>
      <w:rFonts w:eastAsiaTheme="majorEastAsia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C63F9A"/>
    <w:rPr>
      <w:rFonts w:eastAsiaTheme="majorEastAsia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C63F9A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C63F9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C63F9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C63F9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C63F9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C63F9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C63F9A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C63F9A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C63F9A"/>
    <w:rPr>
      <w:i/>
      <w:iCs/>
      <w:color w:val="0F4761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C63F9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C63F9A"/>
    <w:rPr>
      <w:i/>
      <w:iCs/>
      <w:color w:val="0F4761" w:themeColor="accent1" w:themeShade="BF"/>
    </w:rPr>
  </w:style>
  <w:style w:type="character" w:styleId="Rfrenceintense">
    <w:name w:val="Intense Reference"/>
    <w:basedOn w:val="Policepardfaut"/>
    <w:uiPriority w:val="32"/>
    <w:qFormat/>
    <w:rsid w:val="00C63F9A"/>
    <w:rPr>
      <w:b/>
      <w:bCs/>
      <w:smallCaps/>
      <w:color w:val="0F4761" w:themeColor="accent1" w:themeShade="BF"/>
      <w:spacing w:val="5"/>
    </w:rPr>
  </w:style>
  <w:style w:type="paragraph" w:styleId="Rvision">
    <w:name w:val="Revision"/>
    <w:hidden/>
    <w:uiPriority w:val="99"/>
    <w:semiHidden/>
    <w:rsid w:val="008E178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3877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43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308</Words>
  <Characters>1700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Debora LANZNASTER</dc:creator>
  <cp:keywords/>
  <dc:description/>
  <cp:lastModifiedBy>Debora LANZNASTER</cp:lastModifiedBy>
  <cp:revision>3</cp:revision>
  <dcterms:created xsi:type="dcterms:W3CDTF">2024-10-25T09:48:00Z</dcterms:created>
  <dcterms:modified xsi:type="dcterms:W3CDTF">2024-10-29T13:54:00Z</dcterms:modified>
</cp:coreProperties>
</file>